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6FC8" w14:textId="7AD9402A" w:rsidR="00A32FA8" w:rsidRDefault="00A32FA8" w:rsidP="00A32FA8">
      <w:pPr>
        <w:spacing w:after="0"/>
        <w:jc w:val="center"/>
        <w:rPr>
          <w:b/>
        </w:rPr>
      </w:pPr>
      <w:r>
        <w:rPr>
          <w:b/>
        </w:rPr>
        <w:t>Healthy Alaskans 2030</w:t>
      </w:r>
    </w:p>
    <w:p w14:paraId="569CBF86" w14:textId="0BDE3CD8" w:rsidR="00A32FA8" w:rsidRDefault="00C24377" w:rsidP="00A32FA8">
      <w:pPr>
        <w:spacing w:after="0"/>
        <w:jc w:val="center"/>
        <w:rPr>
          <w:b/>
        </w:rPr>
      </w:pPr>
      <w:r>
        <w:rPr>
          <w:b/>
        </w:rPr>
        <w:t>Example</w:t>
      </w:r>
      <w:r w:rsidR="00A32FA8">
        <w:rPr>
          <w:b/>
        </w:rPr>
        <w:t xml:space="preserve"> Elevator Speech</w:t>
      </w:r>
      <w:r>
        <w:rPr>
          <w:b/>
        </w:rPr>
        <w:t>es</w:t>
      </w:r>
      <w:bookmarkStart w:id="0" w:name="_GoBack"/>
      <w:bookmarkEnd w:id="0"/>
    </w:p>
    <w:p w14:paraId="186E3FBA" w14:textId="14EF622B" w:rsidR="00A32FA8" w:rsidRPr="00A32FA8" w:rsidRDefault="00A32FA8" w:rsidP="00A32FA8">
      <w:pPr>
        <w:spacing w:after="0"/>
        <w:jc w:val="center"/>
        <w:rPr>
          <w:b/>
        </w:rPr>
      </w:pPr>
      <w:r>
        <w:rPr>
          <w:b/>
        </w:rPr>
        <w:t>October 2020</w:t>
      </w:r>
    </w:p>
    <w:p w14:paraId="388F06B3" w14:textId="3E95D26E" w:rsidR="00A32FA8" w:rsidRDefault="00A32FA8">
      <w:pPr>
        <w:rPr>
          <w:i/>
        </w:rPr>
      </w:pPr>
      <w:r>
        <w:rPr>
          <w:i/>
        </w:rPr>
        <w:t>_________________________________________________________________________________</w:t>
      </w:r>
    </w:p>
    <w:p w14:paraId="5022AF00" w14:textId="5A68ADCC" w:rsidR="00C24377" w:rsidRPr="00C24377" w:rsidRDefault="00C24377">
      <w:pPr>
        <w:rPr>
          <w:b/>
        </w:rPr>
      </w:pPr>
      <w:r w:rsidRPr="00C24377">
        <w:rPr>
          <w:b/>
        </w:rPr>
        <w:t>Example 1</w:t>
      </w:r>
    </w:p>
    <w:p w14:paraId="5423B0F6" w14:textId="349EEE24" w:rsidR="00B5777E" w:rsidRDefault="00D9218C">
      <w:r>
        <w:t>Audience – partner organization</w:t>
      </w:r>
    </w:p>
    <w:p w14:paraId="443D5EE1" w14:textId="681486DA" w:rsidR="00C24377" w:rsidRDefault="00D9218C">
      <w:pPr>
        <w:pBdr>
          <w:bottom w:val="single" w:sz="12" w:space="1" w:color="auto"/>
        </w:pBdr>
      </w:pPr>
      <w:r>
        <w:t xml:space="preserve">Alaska has an abundancy </w:t>
      </w:r>
      <w:r w:rsidR="00D02855">
        <w:t xml:space="preserve">of resources and our most important and valuable one is Alaskans themselves – current and future. Healthy Alaskans 2030 is a statewide collaborative initiative with the goal of ensuring the people of Alaska are healthy and thriving. The issues our state face like child abuse and neglect, substance misuse, or homelessness, are complex and require us to link arms and work together. So, Healthy Alaskans 2030 brings people together from every corner of our state from almost every sector you can imagine together and focuses them key health priorities. With the vision of continuing to build a strong and robust Alaska. </w:t>
      </w:r>
    </w:p>
    <w:p w14:paraId="171B697E" w14:textId="341849E2" w:rsidR="00C24377" w:rsidRPr="00C24377" w:rsidRDefault="00C24377" w:rsidP="00A32FA8">
      <w:pPr>
        <w:rPr>
          <w:rFonts w:ascii="Calibri" w:eastAsia="Times New Roman" w:hAnsi="Calibri" w:cs="Calibri"/>
          <w:b/>
          <w:color w:val="000000"/>
        </w:rPr>
      </w:pPr>
      <w:r w:rsidRPr="00C24377">
        <w:rPr>
          <w:rFonts w:ascii="Calibri" w:eastAsia="Times New Roman" w:hAnsi="Calibri" w:cs="Calibri"/>
          <w:b/>
          <w:color w:val="000000"/>
        </w:rPr>
        <w:t>Example 2</w:t>
      </w:r>
    </w:p>
    <w:p w14:paraId="4B05191F" w14:textId="76863E92" w:rsidR="00A32FA8" w:rsidRDefault="00A32FA8" w:rsidP="00A32FA8">
      <w:pPr>
        <w:rPr>
          <w:rFonts w:ascii="Calibri" w:eastAsia="Times New Roman" w:hAnsi="Calibri" w:cs="Calibri"/>
          <w:color w:val="000000"/>
        </w:rPr>
      </w:pPr>
      <w:r>
        <w:rPr>
          <w:rFonts w:ascii="Calibri" w:eastAsia="Times New Roman" w:hAnsi="Calibri" w:cs="Calibri"/>
          <w:noProof/>
          <w:color w:val="000000"/>
        </w:rPr>
        <w:drawing>
          <wp:inline distT="0" distB="0" distL="0" distR="0" wp14:anchorId="7A9897D1" wp14:editId="5A153684">
            <wp:extent cx="3538303" cy="3352800"/>
            <wp:effectExtent l="0" t="0" r="5080" b="0"/>
            <wp:docPr id="1" name="Picture 1" descr="cid:5f6bbd1f-fbb9-446e-83d1-5e8c1378e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f6bbd1f-fbb9-446e-83d1-5e8c1378e24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541439" cy="3355772"/>
                    </a:xfrm>
                    <a:prstGeom prst="rect">
                      <a:avLst/>
                    </a:prstGeom>
                    <a:noFill/>
                    <a:ln>
                      <a:noFill/>
                    </a:ln>
                  </pic:spPr>
                </pic:pic>
              </a:graphicData>
            </a:graphic>
          </wp:inline>
        </w:drawing>
      </w:r>
    </w:p>
    <w:p w14:paraId="1DA19F31" w14:textId="77777777" w:rsidR="00A32FA8" w:rsidRDefault="00A32FA8" w:rsidP="00A32FA8">
      <w:pPr>
        <w:pStyle w:val="default"/>
        <w:pBdr>
          <w:bottom w:val="single" w:sz="12" w:space="1" w:color="auto"/>
        </w:pBdr>
        <w:rPr>
          <w:rFonts w:ascii="Calibri" w:hAnsi="Calibri" w:cs="Calibri"/>
          <w:color w:val="000000"/>
        </w:rPr>
      </w:pPr>
      <w:r>
        <w:rPr>
          <w:rFonts w:ascii="Calibri" w:hAnsi="Calibri" w:cs="Calibri"/>
          <w:color w:val="000000"/>
          <w:sz w:val="22"/>
          <w:szCs w:val="22"/>
        </w:rPr>
        <w:t xml:space="preserve">APU is committed to providing a world-class, hands-on, culturally responsive educational experience by honoring Alaska’s Indigenous heritage. Healthy Alaskans is committed to improving the health of all Alaskans across different areas. Both Healthy Alaskans and APU are partners with ANTHC. In fact, Alaska is the only </w:t>
      </w:r>
      <w:r>
        <w:rPr>
          <w:rFonts w:ascii="Calibri" w:hAnsi="Calibri" w:cs="Calibri"/>
          <w:sz w:val="22"/>
          <w:szCs w:val="22"/>
        </w:rPr>
        <w:t xml:space="preserve">known statewide health improvement plan in the nation that is developed and co-led by state and Tribal entities. One area that APU can focus on that aligns with this plan is enhancing protective factors in general for our students, and specifically those associated with suicide prevention.  </w:t>
      </w:r>
      <w:r>
        <w:rPr>
          <w:rFonts w:ascii="Calibri" w:hAnsi="Calibri" w:cs="Calibri"/>
          <w:sz w:val="22"/>
          <w:szCs w:val="22"/>
        </w:rPr>
        <w:lastRenderedPageBreak/>
        <w:t xml:space="preserve">Another area would be providing more mental health and healthcare providers, a critical need in Alaska. </w:t>
      </w:r>
      <w:r>
        <w:rPr>
          <w:rFonts w:ascii="Calibri" w:hAnsi="Calibri" w:cs="Calibri"/>
          <w:color w:val="000000"/>
          <w:sz w:val="22"/>
          <w:szCs w:val="22"/>
        </w:rPr>
        <w:t>APU has a focus towards teaching Native ways of knowing and traditional methods of healing, but also specifically recruiting students of Indigenous heritage to become behavioral health providers in Alaska. These efforts can help students of diverse backgrounds, especially Alaska Natives feel welcome at APU, and in turn mentor and develop youth in their community and increase the health of Alaskans. </w:t>
      </w:r>
    </w:p>
    <w:p w14:paraId="6192982B" w14:textId="560E96AD" w:rsidR="00C24377" w:rsidRPr="00C24377" w:rsidRDefault="00C24377" w:rsidP="00A32FA8">
      <w:pPr>
        <w:rPr>
          <w:b/>
        </w:rPr>
      </w:pPr>
      <w:r w:rsidRPr="00C24377">
        <w:rPr>
          <w:b/>
        </w:rPr>
        <w:t>Example 3</w:t>
      </w:r>
    </w:p>
    <w:p w14:paraId="07B8FCA2" w14:textId="4B323E73" w:rsidR="00A32FA8" w:rsidRDefault="00A32FA8" w:rsidP="00A32FA8">
      <w:r>
        <w:t xml:space="preserve">Healthy Alaskans is a long-term plan to improve the most significant health problems in our state. The plan has 30 Leading Health Indicators with targets to reach by 2030.  </w:t>
      </w:r>
    </w:p>
    <w:p w14:paraId="5EC0832E" w14:textId="77777777" w:rsidR="00A32FA8" w:rsidRDefault="00A32FA8" w:rsidP="00A32FA8">
      <w:r>
        <w:t xml:space="preserve">I am a research analyst in the State’s section of Women’s, Children’s, and Family Health.  Two indicators that are important to programs that I work with are the percentage of women giving birth who received prenatal care early in their pregnancy and the percentage of 3-year-olds who have had a well-child check-up in the last year.  </w:t>
      </w:r>
    </w:p>
    <w:p w14:paraId="1A755B9F" w14:textId="77777777" w:rsidR="00A32FA8" w:rsidRDefault="00A32FA8" w:rsidP="00A32FA8">
      <w:r>
        <w:t xml:space="preserve">As a member of the HA2030 Advisory Team, I am involved in the process of selecting these indicators. We want each indicator to be broadly recognized as a health concern and measurable through accurate and reliable data.  Each indicator must address preventable issues and health inequities.  Finally, each indicator relates to a relevant health priority based on the state’s current needs.  </w:t>
      </w:r>
    </w:p>
    <w:p w14:paraId="2348A96C" w14:textId="77777777" w:rsidR="00A32FA8" w:rsidRDefault="00A32FA8" w:rsidP="00A32FA8">
      <w:r>
        <w:t>Prior to selecting indicators, there is a lengthy, structured process for prioritizing health issues.  Priorities are identified through a statewide health assessment, surveys, interviews, listening sessions, and a public health system assessment. Examples of our state’s priorities include access to health care, social determinants of health, substance misuse, and violence prevention.</w:t>
      </w:r>
    </w:p>
    <w:p w14:paraId="109E8DAD" w14:textId="1A60A95A" w:rsidR="00C7595B" w:rsidRPr="00C24377" w:rsidRDefault="00A32FA8" w:rsidP="00C24377">
      <w:pPr>
        <w:pBdr>
          <w:bottom w:val="single" w:sz="12" w:space="1" w:color="auto"/>
        </w:pBdr>
      </w:pPr>
      <w:r>
        <w:t>Partners from many sectors contribute their perspectives and efforts toward prioritizing health issues and selecting indicators. These partners and stakeholders are led by DHSS (Department of Health and Social Services) and ANTHC (Alaska Native Tribal Health Consortium).</w:t>
      </w:r>
    </w:p>
    <w:p w14:paraId="0412401D" w14:textId="2930CFB4" w:rsidR="00C24377" w:rsidRPr="00C24377" w:rsidRDefault="00C24377" w:rsidP="00C7595B">
      <w:pPr>
        <w:pStyle w:val="BodyText11pt-ASTHO"/>
        <w:spacing w:line="240" w:lineRule="auto"/>
        <w:rPr>
          <w:b/>
        </w:rPr>
      </w:pPr>
      <w:r w:rsidRPr="00C24377">
        <w:rPr>
          <w:b/>
        </w:rPr>
        <w:t>Example 4</w:t>
      </w:r>
    </w:p>
    <w:p w14:paraId="1ED0AA35" w14:textId="094DADD3" w:rsidR="00C7595B" w:rsidRDefault="00C7595B" w:rsidP="00C7595B">
      <w:pPr>
        <w:pStyle w:val="BodyText11pt-ASTHO"/>
        <w:spacing w:line="240" w:lineRule="auto"/>
      </w:pPr>
      <w:r>
        <w:t xml:space="preserve">Healthy Alaskans 2030 is the statewide framework for addressing critical health issues throughout the state and making significant improvements to help every Alaskan achieve optimum health.  </w:t>
      </w:r>
    </w:p>
    <w:p w14:paraId="461E6D19" w14:textId="77777777" w:rsidR="00C7595B" w:rsidRDefault="00C7595B" w:rsidP="00C7595B">
      <w:pPr>
        <w:pStyle w:val="BodyText11pt-ASTHO"/>
        <w:spacing w:line="240" w:lineRule="auto"/>
      </w:pPr>
      <w:r>
        <w:t xml:space="preserve">Healthy Alaskans 2030 is the statewide plan for improving health and wellness for all Alaskans through strategic initiatives developed by communities and public health experts.  </w:t>
      </w:r>
    </w:p>
    <w:p w14:paraId="27E40737" w14:textId="77777777" w:rsidR="00C7595B" w:rsidRDefault="00C7595B"/>
    <w:sectPr w:rsidR="00C7595B" w:rsidSect="00A32FA8">
      <w:headerReference w:type="default" r:id="rId11"/>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7D61" w14:textId="77777777" w:rsidR="00457152" w:rsidRDefault="00457152" w:rsidP="00A32FA8">
      <w:pPr>
        <w:spacing w:after="0" w:line="240" w:lineRule="auto"/>
      </w:pPr>
      <w:r>
        <w:separator/>
      </w:r>
    </w:p>
  </w:endnote>
  <w:endnote w:type="continuationSeparator" w:id="0">
    <w:p w14:paraId="3C02C285" w14:textId="77777777" w:rsidR="00457152" w:rsidRDefault="00457152" w:rsidP="00A3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D028" w14:textId="77777777" w:rsidR="00457152" w:rsidRDefault="00457152" w:rsidP="00A32FA8">
      <w:pPr>
        <w:spacing w:after="0" w:line="240" w:lineRule="auto"/>
      </w:pPr>
      <w:r>
        <w:separator/>
      </w:r>
    </w:p>
  </w:footnote>
  <w:footnote w:type="continuationSeparator" w:id="0">
    <w:p w14:paraId="2E1D7F0D" w14:textId="77777777" w:rsidR="00457152" w:rsidRDefault="00457152" w:rsidP="00A3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2724" w14:textId="6A063EB4" w:rsidR="00A32FA8" w:rsidRDefault="00A32FA8" w:rsidP="00A32FA8">
    <w:pPr>
      <w:pStyle w:val="Header"/>
      <w:jc w:val="center"/>
    </w:pPr>
    <w:r>
      <w:rPr>
        <w:noProof/>
      </w:rPr>
      <w:drawing>
        <wp:inline distT="0" distB="0" distL="0" distR="0" wp14:anchorId="0CA06166" wp14:editId="231BFA06">
          <wp:extent cx="2770939" cy="941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 logo rounded_digital-01.jpg"/>
                  <pic:cNvPicPr/>
                </pic:nvPicPr>
                <pic:blipFill>
                  <a:blip r:embed="rId1">
                    <a:extLst>
                      <a:ext uri="{28A0092B-C50C-407E-A947-70E740481C1C}">
                        <a14:useLocalDpi xmlns:a14="http://schemas.microsoft.com/office/drawing/2010/main" val="0"/>
                      </a:ext>
                    </a:extLst>
                  </a:blip>
                  <a:stretch>
                    <a:fillRect/>
                  </a:stretch>
                </pic:blipFill>
                <pic:spPr>
                  <a:xfrm>
                    <a:off x="0" y="0"/>
                    <a:ext cx="2791441" cy="948673"/>
                  </a:xfrm>
                  <a:prstGeom prst="rect">
                    <a:avLst/>
                  </a:prstGeom>
                </pic:spPr>
              </pic:pic>
            </a:graphicData>
          </a:graphic>
        </wp:inline>
      </w:drawing>
    </w:r>
  </w:p>
  <w:p w14:paraId="0782D1CD" w14:textId="77777777" w:rsidR="00A32FA8" w:rsidRDefault="00A32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8C"/>
    <w:rsid w:val="00457152"/>
    <w:rsid w:val="00A32FA8"/>
    <w:rsid w:val="00B5777E"/>
    <w:rsid w:val="00C24377"/>
    <w:rsid w:val="00C7595B"/>
    <w:rsid w:val="00D02855"/>
    <w:rsid w:val="00D9218C"/>
    <w:rsid w:val="00E3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01C15"/>
  <w15:chartTrackingRefBased/>
  <w15:docId w15:val="{E4BBE7D1-A492-40B2-A072-F90D4F43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32FA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3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A8"/>
  </w:style>
  <w:style w:type="paragraph" w:styleId="Footer">
    <w:name w:val="footer"/>
    <w:basedOn w:val="Normal"/>
    <w:link w:val="FooterChar"/>
    <w:uiPriority w:val="99"/>
    <w:unhideWhenUsed/>
    <w:rsid w:val="00A3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A8"/>
  </w:style>
  <w:style w:type="paragraph" w:customStyle="1" w:styleId="BodyText11pt-ASTHO">
    <w:name w:val="Body Text 11pt-ASTHO"/>
    <w:basedOn w:val="Normal"/>
    <w:rsid w:val="00C7595B"/>
    <w:pPr>
      <w:autoSpaceDE w:val="0"/>
      <w:autoSpaceDN w:val="0"/>
      <w:spacing w:after="320" w:line="288" w:lineRule="auto"/>
      <w:ind w:right="14"/>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80361">
      <w:bodyDiv w:val="1"/>
      <w:marLeft w:val="0"/>
      <w:marRight w:val="0"/>
      <w:marTop w:val="0"/>
      <w:marBottom w:val="0"/>
      <w:divBdr>
        <w:top w:val="none" w:sz="0" w:space="0" w:color="auto"/>
        <w:left w:val="none" w:sz="0" w:space="0" w:color="auto"/>
        <w:bottom w:val="none" w:sz="0" w:space="0" w:color="auto"/>
        <w:right w:val="none" w:sz="0" w:space="0" w:color="auto"/>
      </w:divBdr>
    </w:div>
    <w:div w:id="20091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5f6bbd1f-fbb9-446e-83d1-5e8c1378e248"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1ef96e50-3615-4f76-bd22-dc43325356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DE7ADFEB4DB4EBDB45E7965B59607" ma:contentTypeVersion="3" ma:contentTypeDescription="Create a new document." ma:contentTypeScope="" ma:versionID="f8dc9c1c651b6d58ae731f75cf3e3d20">
  <xsd:schema xmlns:xsd="http://www.w3.org/2001/XMLSchema" xmlns:xs="http://www.w3.org/2001/XMLSchema" xmlns:p="http://schemas.microsoft.com/office/2006/metadata/properties" xmlns:ns2="1ef96e50-3615-4f76-bd22-dc43325356ea" targetNamespace="http://schemas.microsoft.com/office/2006/metadata/properties" ma:root="true" ma:fieldsID="2623e4583535c4a5d5fd98676a1ac13b" ns2:_="">
    <xsd:import namespace="1ef96e50-3615-4f76-bd22-dc43325356ea"/>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6e50-3615-4f76-bd22-dc43325356ea"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A7ED1-8A16-4885-BD61-A5E4A2089FE3}">
  <ds:schemaRefs>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1ef96e50-3615-4f76-bd22-dc43325356ea"/>
  </ds:schemaRefs>
</ds:datastoreItem>
</file>

<file path=customXml/itemProps2.xml><?xml version="1.0" encoding="utf-8"?>
<ds:datastoreItem xmlns:ds="http://schemas.openxmlformats.org/officeDocument/2006/customXml" ds:itemID="{5FC75C5A-E0A9-422C-B856-64B113CFCC1D}">
  <ds:schemaRefs>
    <ds:schemaRef ds:uri="http://schemas.microsoft.com/sharepoint/v3/contenttype/forms"/>
  </ds:schemaRefs>
</ds:datastoreItem>
</file>

<file path=customXml/itemProps3.xml><?xml version="1.0" encoding="utf-8"?>
<ds:datastoreItem xmlns:ds="http://schemas.openxmlformats.org/officeDocument/2006/customXml" ds:itemID="{56CAC99F-450A-4581-96F8-2020E383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96e50-3615-4f76-bd22-dc4332535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Storrs</dc:creator>
  <cp:keywords/>
  <dc:description/>
  <cp:lastModifiedBy>McWilliams, Nancy S</cp:lastModifiedBy>
  <cp:revision>2</cp:revision>
  <dcterms:created xsi:type="dcterms:W3CDTF">2020-12-29T22:09:00Z</dcterms:created>
  <dcterms:modified xsi:type="dcterms:W3CDTF">2020-12-29T22:09:00Z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0x010100401DE7ADFEB4DB4EBDB45E7965B59607</vt:lpwstr>
  </property>
</Properties>
</file>